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EAA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0"/>
        <w:rPr>
          <w:rFonts w:hint="eastAsia" w:ascii="仿宋" w:hAnsi="仿宋" w:eastAsia="仿宋" w:cs="仿宋"/>
          <w:b/>
          <w:bCs/>
          <w:kern w:val="0"/>
          <w:sz w:val="32"/>
          <w:szCs w:val="32"/>
          <w:lang w:val="en-US" w:eastAsia="zh-CN"/>
        </w:rPr>
      </w:pPr>
      <w:bookmarkStart w:id="2" w:name="_GoBack"/>
      <w:bookmarkStart w:id="0" w:name="_Toc22048"/>
      <w:bookmarkStart w:id="1" w:name="_Toc19263"/>
      <w:r>
        <w:rPr>
          <w:rFonts w:hint="eastAsia" w:ascii="仿宋" w:hAnsi="仿宋" w:eastAsia="仿宋" w:cs="仿宋"/>
          <w:b/>
          <w:bCs/>
          <w:kern w:val="0"/>
          <w:sz w:val="32"/>
          <w:szCs w:val="32"/>
          <w:lang w:val="en-US" w:eastAsia="zh-CN" w:bidi="ar-SA"/>
        </w:rPr>
        <w:t>28.</w:t>
      </w:r>
      <w:r>
        <w:rPr>
          <w:rFonts w:hint="eastAsia" w:ascii="仿宋" w:hAnsi="仿宋" w:eastAsia="仿宋" w:cs="仿宋"/>
          <w:b/>
          <w:bCs/>
          <w:kern w:val="0"/>
          <w:sz w:val="32"/>
          <w:szCs w:val="32"/>
          <w:lang w:val="en-US" w:eastAsia="zh-CN"/>
        </w:rPr>
        <w:t>关于印发《大兴安岭地区供水可靠性管制实施方案 （试行）》的通知（2024年11月5日）</w:t>
      </w:r>
      <w:bookmarkEnd w:id="0"/>
      <w:bookmarkEnd w:id="1"/>
    </w:p>
    <w:bookmarkEnd w:id="2"/>
    <w:p w14:paraId="3704AC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center"/>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大署建发〔2024〕43号</w:t>
      </w:r>
    </w:p>
    <w:p w14:paraId="31FE5B33">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各县（市、区）住建局，各供水单位：</w:t>
      </w:r>
    </w:p>
    <w:p w14:paraId="3ED080F1">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为进一步优化营商环境，提升供水服务质效，结合我区实际情况，我们印发了《大兴安岭地区供水可靠性管制实施方案 （试行）》。现将文件印发给你们，请各县（市、区）住建局参照执行并拟定实施方案。</w:t>
      </w:r>
    </w:p>
    <w:p w14:paraId="42AF1908">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77F0AC46">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3D1BFE8A">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大兴安岭地区行署住房和城乡建设局</w:t>
      </w:r>
    </w:p>
    <w:p w14:paraId="4D783161">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2024年10月29日</w:t>
      </w:r>
    </w:p>
    <w:p w14:paraId="1DECBB75">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4102BA22">
      <w:pPr>
        <w:pStyle w:val="10"/>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大兴安岭地区供水可靠性管制实施方案 （试行）</w:t>
      </w:r>
    </w:p>
    <w:p w14:paraId="24B75E46">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15B971DE">
      <w:pPr>
        <w:pStyle w:val="1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第一章 总则</w:t>
      </w:r>
    </w:p>
    <w:p w14:paraId="5A8455B5">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条为确保大兴安岭地区供水系统的可靠性，提升我区供水可靠性管控能力，不断优化供水服务水平，依据《中华人民共和国民法典》《中华人民共和国城市供水条例》《大兴安岭地区公共供水水质信息公开管理办法》（大署建联〔2024〕10号）《城市供水系统用户端可靠性评价规程》(T/CUWA060-2023)等相关规定，制定本方案。</w:t>
      </w:r>
    </w:p>
    <w:p w14:paraId="6253BA00">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第二条本方案适用于大兴安岭地区行政区域内的城镇供水企业。</w:t>
      </w:r>
    </w:p>
    <w:p w14:paraId="0564972B">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第三条大兴安岭地区住房与城乡建设局是大兴安岭地区市供水行政主管部门，县（市、区）住建局负责对本地供水可靠性评价的监督考核工作。</w:t>
      </w:r>
    </w:p>
    <w:p w14:paraId="63D350CC">
      <w:pPr>
        <w:pStyle w:val="1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第二章 供水可靠性管理</w:t>
      </w:r>
    </w:p>
    <w:p w14:paraId="63AA478B">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第四条行政主管部门应整合各供水企业系统，实现互联互通，通过大屏及时查看水质水压、社会投诉、管网运行等情况。做到“实时感知、智能研判、无感监测。充分利用信息化手段实现动态调控、监测。</w:t>
      </w:r>
    </w:p>
    <w:p w14:paraId="3265F640">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五条行政主管部门、供水企业应加大当地供水可靠性关键指标数据在政府、企业门户网站(或微信公众号)信息公开网上集中公示。数据包括供水水质合格率、水压合格率、供水可靠率、每月用户平均停水时长、每月用户平均停水次数。其中，水质公开应满足《大兴安岭地区公共供水水质信息公开管理办法》（大署建联〔2024〕10号）要求。</w:t>
      </w:r>
    </w:p>
    <w:p w14:paraId="23EDAB5A">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第六条供水企业应当保持服务期内不间断供应，不得擅自停供。对因工程施工、设备检修等原因确需停供的计划性停水事件，需明确告知停水范围、计划停水时长、预计恢复供应时间。并应按如下规程进行审批。</w:t>
      </w:r>
    </w:p>
    <w:p w14:paraId="1473FB7B">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（一）居民用户（含沿街商铺、学校、医院等公建设施）</w:t>
      </w:r>
    </w:p>
    <w:p w14:paraId="1F759D1C">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影响范围在一个居民小区/沿街商户在30户（含）以内的， 供水企业与所在街道一并协商处理，需提前24个小时告知被影响的居民。</w:t>
      </w:r>
    </w:p>
    <w:p w14:paraId="18FA85DB">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影响范围在三个居民小区（含）/沿街商户在50户（含）以内的，由县级行政主管部门批准，并提前24个小时在主要居民小区、沿街经营场所予以公告，同时组织做好学校、医院等关键性公建设施应急保供措施。</w:t>
      </w:r>
    </w:p>
    <w:p w14:paraId="3BCBB15C">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影响范围超过三个居民小区/沿街商户50户的，由大兴安岭地区行政主管部门批准，并提前24个小时在主要居民小区、沿街经营场所予以公告，同时做好停水区域的应急保供措施。</w:t>
      </w:r>
    </w:p>
    <w:p w14:paraId="77DA49CF">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（二）企业及工商业用户</w:t>
      </w:r>
    </w:p>
    <w:p w14:paraId="5F7E6380">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停水范围内最大影响水表口径在DN200（含）以内的，供 水企业与所在街道一并协商处理，需提前24个小时告知被影响的企业。</w:t>
      </w:r>
    </w:p>
    <w:p w14:paraId="0C95B09B">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停水范围内最大影响水表口径在DN200-DN300（含）以内 的，由县级行政主管部门批准，并提前24个小时告知企业。</w:t>
      </w:r>
    </w:p>
    <w:p w14:paraId="46C03AFE">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停水范围内最大影响水表口径在DN300以上的，由大兴安岭地区行政主管部门批准，并提前24个小时告知企业。供水企业根据计划停水时长，按照企业上一周工作时长的日均供水量10%，准备应急送水车予以送水保障。</w:t>
      </w:r>
    </w:p>
    <w:p w14:paraId="77F07BF5">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对于因供水企业原因造成的用户停水时长超过计划停水时长的，超出部分按照上季度平均时供水量进行补偿，可采用货币形式补偿，也可在下一账单中予以核减。</w:t>
      </w:r>
    </w:p>
    <w:p w14:paraId="08B9746D">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（三）连续超过24小时不能正常供水的，由大兴安岭地区行政主管部门批准，并采取应急供水措施，保证居民基本生活用水的需要。</w:t>
      </w:r>
    </w:p>
    <w:p w14:paraId="5DAB6457">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（四）以上情形以最严格规定执行。</w:t>
      </w:r>
    </w:p>
    <w:p w14:paraId="1B5F0966">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第七条因发生灾害或者紧急事故不能提前通知的， 供水单位应当在抢修的同时，在停止供水或者降压供水的区域内公告，尽快恢复正常供水，并报告城镇供水行政主管部门。影响消防灭火的，应当同时报告公安机关消防机构。</w:t>
      </w:r>
    </w:p>
    <w:p w14:paraId="3F3ECA24">
      <w:pPr>
        <w:pStyle w:val="1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第三章 可靠性指标测算</w:t>
      </w:r>
    </w:p>
    <w:p w14:paraId="20BF9967">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第八条本方案涉及的可靠性评价指标， 分为基本指标和 修正指标，其统计方法按照中国城镇供水排水协会发布的《城市供水系统用户端可靠性评价规程》(T/CUWA060-2023)执行。</w:t>
      </w:r>
    </w:p>
    <w:p w14:paraId="7548627E">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第九条采用供水可靠率（WSRI）作为供水行政主管部门 对供水企业的奖惩标准。计算公式如下：</w:t>
      </w:r>
    </w:p>
    <w:p w14:paraId="20D81265">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4114800" cy="81978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a:stretch>
                      <a:fillRect/>
                    </a:stretch>
                  </pic:blipFill>
                  <pic:spPr>
                    <a:xfrm>
                      <a:off x="0" y="0"/>
                      <a:ext cx="4114800" cy="819785"/>
                    </a:xfrm>
                    <a:prstGeom prst="rect">
                      <a:avLst/>
                    </a:prstGeom>
                    <a:noFill/>
                    <a:ln>
                      <a:noFill/>
                    </a:ln>
                  </pic:spPr>
                </pic:pic>
              </a:graphicData>
            </a:graphic>
          </wp:inline>
        </w:drawing>
      </w:r>
    </w:p>
    <w:p w14:paraId="2EBB2ADC">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其中：</w:t>
      </w:r>
    </w:p>
    <w:p w14:paraId="259A6B3F">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（一）用户平均停水时长为用户平均计划停水时长（WSR1） 与用户平均抢修停水时长（WSR2）之和。</w:t>
      </w:r>
    </w:p>
    <w:p w14:paraId="325055B6">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用户平均停水次数为用户平均计划停水次数（WSR3）与用 户平均抢修停水次数（WSR4）之和。</w:t>
      </w:r>
    </w:p>
    <w:p w14:paraId="3857714B">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1.用户平均计划停水时长（WSR1），计算公式如下：</w:t>
      </w:r>
    </w:p>
    <w:p w14:paraId="128D1022">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p>
    <w:p w14:paraId="5EFEA72B">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0" distR="0">
            <wp:extent cx="4556125" cy="532765"/>
            <wp:effectExtent l="0" t="0" r="15875" b="635"/>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6"/>
                    <a:stretch>
                      <a:fillRect/>
                    </a:stretch>
                  </pic:blipFill>
                  <pic:spPr>
                    <a:xfrm>
                      <a:off x="0" y="0"/>
                      <a:ext cx="4556747" cy="533140"/>
                    </a:xfrm>
                    <a:prstGeom prst="rect">
                      <a:avLst/>
                    </a:prstGeom>
                  </pic:spPr>
                </pic:pic>
              </a:graphicData>
            </a:graphic>
          </wp:inline>
        </w:drawing>
      </w:r>
    </w:p>
    <w:p w14:paraId="221F8C91">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2.用户平均抢修停水时长（WSR2），计算公式如下：</w:t>
      </w:r>
    </w:p>
    <w:p w14:paraId="3DB67372">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p>
    <w:p w14:paraId="708D03F4">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0" distR="0">
            <wp:extent cx="4556125" cy="532765"/>
            <wp:effectExtent l="0" t="0" r="15875" b="635"/>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7"/>
                    <a:stretch>
                      <a:fillRect/>
                    </a:stretch>
                  </pic:blipFill>
                  <pic:spPr>
                    <a:xfrm>
                      <a:off x="0" y="0"/>
                      <a:ext cx="4556747" cy="533140"/>
                    </a:xfrm>
                    <a:prstGeom prst="rect">
                      <a:avLst/>
                    </a:prstGeom>
                  </pic:spPr>
                </pic:pic>
              </a:graphicData>
            </a:graphic>
          </wp:inline>
        </w:drawing>
      </w:r>
    </w:p>
    <w:p w14:paraId="3653E449">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3.用户平均计划停水次数（WSR3），计算公式如下：</w:t>
      </w:r>
    </w:p>
    <w:p w14:paraId="297F1282">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p>
    <w:p w14:paraId="74EF34EC">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0" distR="0">
            <wp:extent cx="2742565" cy="532765"/>
            <wp:effectExtent l="0" t="0" r="635" b="635"/>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8"/>
                    <a:stretch>
                      <a:fillRect/>
                    </a:stretch>
                  </pic:blipFill>
                  <pic:spPr>
                    <a:xfrm>
                      <a:off x="0" y="0"/>
                      <a:ext cx="2743199" cy="533141"/>
                    </a:xfrm>
                    <a:prstGeom prst="rect">
                      <a:avLst/>
                    </a:prstGeom>
                  </pic:spPr>
                </pic:pic>
              </a:graphicData>
            </a:graphic>
          </wp:inline>
        </w:drawing>
      </w:r>
    </w:p>
    <w:p w14:paraId="4E690C43">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4.用户平均抢修停水次数（WSR4），计算公式如下：</w:t>
      </w:r>
    </w:p>
    <w:p w14:paraId="4FC14FE1">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p>
    <w:p w14:paraId="6D3C0FA1">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0" distR="0">
            <wp:extent cx="2742565" cy="532765"/>
            <wp:effectExtent l="0" t="0" r="635" b="635"/>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9"/>
                    <a:stretch>
                      <a:fillRect/>
                    </a:stretch>
                  </pic:blipFill>
                  <pic:spPr>
                    <a:xfrm>
                      <a:off x="0" y="0"/>
                      <a:ext cx="2743199" cy="533141"/>
                    </a:xfrm>
                    <a:prstGeom prst="rect">
                      <a:avLst/>
                    </a:prstGeom>
                  </pic:spPr>
                </pic:pic>
              </a:graphicData>
            </a:graphic>
          </wp:inline>
        </w:drawing>
      </w:r>
    </w:p>
    <w:p w14:paraId="118B31ED">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（二）统计期间时长按照评价期总时长计算。</w:t>
      </w:r>
    </w:p>
    <w:p w14:paraId="07FBD959">
      <w:pPr>
        <w:pStyle w:val="10"/>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（三）对于有二次加压供水设施的用户：每次计划/抢修停 水时长=指供水管网停水时长-二供加压供水设施调蓄供水时长。</w:t>
      </w:r>
    </w:p>
    <w:p w14:paraId="315687AC">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（四）停水中断时供水企业采取送水车保障居民正常生活的停水时长应按 50%系数进行折算。</w:t>
      </w:r>
    </w:p>
    <w:p w14:paraId="41A99601">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（五）以下供水中断情况不计入停水事件内：</w:t>
      </w:r>
    </w:p>
    <w:p w14:paraId="457821B8">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1.二次供水储水设施定期清洗造成供水中断；</w:t>
      </w:r>
    </w:p>
    <w:p w14:paraId="36C57C99">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用户提出或用户的内部原因引起供水中断；</w:t>
      </w:r>
    </w:p>
    <w:p w14:paraId="3B94745C">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3.因重大事故（包括灾害）引起的的供水中断。停水事件统计表见表1：</w:t>
      </w:r>
    </w:p>
    <w:p w14:paraId="1044C1DF">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表1.停水事件汇总表</w:t>
      </w:r>
    </w:p>
    <w:tbl>
      <w:tblPr>
        <w:tblStyle w:val="8"/>
        <w:tblW w:w="929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772"/>
        <w:gridCol w:w="2"/>
        <w:gridCol w:w="772"/>
        <w:gridCol w:w="2"/>
        <w:gridCol w:w="772"/>
        <w:gridCol w:w="2"/>
        <w:gridCol w:w="772"/>
        <w:gridCol w:w="2"/>
        <w:gridCol w:w="772"/>
        <w:gridCol w:w="2"/>
        <w:gridCol w:w="772"/>
        <w:gridCol w:w="2"/>
        <w:gridCol w:w="772"/>
        <w:gridCol w:w="2"/>
        <w:gridCol w:w="772"/>
        <w:gridCol w:w="2"/>
        <w:gridCol w:w="772"/>
        <w:gridCol w:w="2"/>
        <w:gridCol w:w="772"/>
        <w:gridCol w:w="2"/>
        <w:gridCol w:w="772"/>
        <w:gridCol w:w="2"/>
        <w:gridCol w:w="780"/>
      </w:tblGrid>
      <w:tr w14:paraId="0CF9C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4" w:type="dxa"/>
            <w:gridSpan w:val="2"/>
            <w:tcMar>
              <w:top w:w="0" w:type="dxa"/>
              <w:left w:w="0" w:type="dxa"/>
              <w:bottom w:w="0" w:type="dxa"/>
              <w:right w:w="0" w:type="dxa"/>
            </w:tcMar>
            <w:vAlign w:val="center"/>
          </w:tcPr>
          <w:p w14:paraId="4D76423F">
            <w:pPr>
              <w:bidi w:val="0"/>
              <w:jc w:val="both"/>
              <w:rPr>
                <w:rFonts w:hint="eastAsia"/>
                <w:spacing w:val="0"/>
                <w:sz w:val="21"/>
              </w:rPr>
            </w:pPr>
            <w:r>
              <w:rPr>
                <w:rFonts w:hint="eastAsia"/>
                <w:spacing w:val="0"/>
                <w:sz w:val="21"/>
              </w:rPr>
              <w:t>序号</w:t>
            </w:r>
          </w:p>
        </w:tc>
        <w:tc>
          <w:tcPr>
            <w:tcW w:w="774" w:type="dxa"/>
            <w:gridSpan w:val="2"/>
            <w:tcMar>
              <w:top w:w="0" w:type="dxa"/>
              <w:left w:w="0" w:type="dxa"/>
              <w:bottom w:w="0" w:type="dxa"/>
              <w:right w:w="0" w:type="dxa"/>
            </w:tcMar>
            <w:vAlign w:val="center"/>
          </w:tcPr>
          <w:p w14:paraId="1DE156FB">
            <w:pPr>
              <w:bidi w:val="0"/>
              <w:jc w:val="both"/>
              <w:rPr>
                <w:rFonts w:hint="eastAsia"/>
                <w:spacing w:val="0"/>
                <w:sz w:val="21"/>
              </w:rPr>
            </w:pPr>
            <w:r>
              <w:rPr>
                <w:rFonts w:hint="eastAsia"/>
                <w:spacing w:val="0"/>
                <w:sz w:val="21"/>
              </w:rPr>
              <w:t>停水区域</w:t>
            </w:r>
          </w:p>
        </w:tc>
        <w:tc>
          <w:tcPr>
            <w:tcW w:w="774" w:type="dxa"/>
            <w:gridSpan w:val="2"/>
            <w:tcMar>
              <w:top w:w="0" w:type="dxa"/>
              <w:left w:w="0" w:type="dxa"/>
              <w:bottom w:w="0" w:type="dxa"/>
              <w:right w:w="0" w:type="dxa"/>
            </w:tcMar>
            <w:vAlign w:val="center"/>
          </w:tcPr>
          <w:p w14:paraId="4947FE4F">
            <w:pPr>
              <w:bidi w:val="0"/>
              <w:jc w:val="both"/>
              <w:rPr>
                <w:rFonts w:hint="eastAsia"/>
                <w:spacing w:val="0"/>
                <w:sz w:val="21"/>
              </w:rPr>
            </w:pPr>
            <w:r>
              <w:rPr>
                <w:rFonts w:hint="eastAsia"/>
                <w:spacing w:val="0"/>
                <w:sz w:val="21"/>
              </w:rPr>
              <w:t>停水性质（计</w:t>
            </w:r>
          </w:p>
          <w:p w14:paraId="1A040958">
            <w:pPr>
              <w:bidi w:val="0"/>
              <w:jc w:val="both"/>
              <w:rPr>
                <w:rFonts w:hint="eastAsia"/>
                <w:spacing w:val="0"/>
                <w:sz w:val="21"/>
              </w:rPr>
            </w:pPr>
            <w:r>
              <w:rPr>
                <w:rFonts w:hint="eastAsia"/>
                <w:spacing w:val="0"/>
                <w:sz w:val="21"/>
              </w:rPr>
              <w:t>划/抢 修）</w:t>
            </w:r>
          </w:p>
        </w:tc>
        <w:tc>
          <w:tcPr>
            <w:tcW w:w="774" w:type="dxa"/>
            <w:gridSpan w:val="2"/>
            <w:tcMar>
              <w:top w:w="0" w:type="dxa"/>
              <w:left w:w="0" w:type="dxa"/>
              <w:bottom w:w="0" w:type="dxa"/>
              <w:right w:w="0" w:type="dxa"/>
            </w:tcMar>
            <w:vAlign w:val="center"/>
          </w:tcPr>
          <w:p w14:paraId="59120D9F">
            <w:pPr>
              <w:bidi w:val="0"/>
              <w:jc w:val="both"/>
              <w:rPr>
                <w:rFonts w:hint="eastAsia"/>
                <w:spacing w:val="0"/>
                <w:sz w:val="21"/>
              </w:rPr>
            </w:pPr>
            <w:r>
              <w:rPr>
                <w:rFonts w:hint="eastAsia"/>
                <w:spacing w:val="0"/>
                <w:sz w:val="21"/>
              </w:rPr>
              <w:t>供水管 网停   水时   间</w:t>
            </w:r>
          </w:p>
        </w:tc>
        <w:tc>
          <w:tcPr>
            <w:tcW w:w="774" w:type="dxa"/>
            <w:gridSpan w:val="2"/>
            <w:tcMar>
              <w:top w:w="0" w:type="dxa"/>
              <w:left w:w="0" w:type="dxa"/>
              <w:bottom w:w="0" w:type="dxa"/>
              <w:right w:w="0" w:type="dxa"/>
            </w:tcMar>
            <w:vAlign w:val="center"/>
          </w:tcPr>
          <w:p w14:paraId="612AE083">
            <w:pPr>
              <w:bidi w:val="0"/>
              <w:jc w:val="both"/>
              <w:rPr>
                <w:rFonts w:hint="eastAsia"/>
                <w:spacing w:val="0"/>
                <w:sz w:val="21"/>
              </w:rPr>
            </w:pPr>
            <w:r>
              <w:rPr>
                <w:rFonts w:hint="eastAsia"/>
                <w:spacing w:val="0"/>
                <w:sz w:val="21"/>
              </w:rPr>
              <w:t>供水管网通水时间</w:t>
            </w:r>
          </w:p>
        </w:tc>
        <w:tc>
          <w:tcPr>
            <w:tcW w:w="774" w:type="dxa"/>
            <w:gridSpan w:val="2"/>
            <w:tcMar>
              <w:top w:w="0" w:type="dxa"/>
              <w:left w:w="0" w:type="dxa"/>
              <w:bottom w:w="0" w:type="dxa"/>
              <w:right w:w="0" w:type="dxa"/>
            </w:tcMar>
            <w:vAlign w:val="center"/>
          </w:tcPr>
          <w:p w14:paraId="5E822DCC">
            <w:pPr>
              <w:bidi w:val="0"/>
              <w:jc w:val="both"/>
              <w:rPr>
                <w:rFonts w:hint="eastAsia"/>
                <w:spacing w:val="0"/>
                <w:sz w:val="21"/>
              </w:rPr>
            </w:pPr>
            <w:r>
              <w:rPr>
                <w:rFonts w:hint="eastAsia"/>
                <w:spacing w:val="0"/>
                <w:sz w:val="21"/>
              </w:rPr>
              <w:t>供水管网停水时长</w:t>
            </w:r>
          </w:p>
          <w:p w14:paraId="566B9D81">
            <w:pPr>
              <w:bidi w:val="0"/>
              <w:jc w:val="both"/>
              <w:rPr>
                <w:rFonts w:hint="eastAsia"/>
                <w:spacing w:val="0"/>
                <w:sz w:val="21"/>
              </w:rPr>
            </w:pPr>
            <w:r>
              <w:rPr>
                <w:rFonts w:hint="eastAsia"/>
                <w:spacing w:val="0"/>
                <w:sz w:val="21"/>
              </w:rPr>
              <w:t>（min/ 户）</w:t>
            </w:r>
          </w:p>
        </w:tc>
        <w:tc>
          <w:tcPr>
            <w:tcW w:w="774" w:type="dxa"/>
            <w:gridSpan w:val="2"/>
            <w:tcMar>
              <w:top w:w="0" w:type="dxa"/>
              <w:left w:w="0" w:type="dxa"/>
              <w:bottom w:w="0" w:type="dxa"/>
              <w:right w:w="0" w:type="dxa"/>
            </w:tcMar>
            <w:vAlign w:val="center"/>
          </w:tcPr>
          <w:p w14:paraId="1E948280">
            <w:pPr>
              <w:bidi w:val="0"/>
              <w:jc w:val="both"/>
              <w:rPr>
                <w:rFonts w:hint="eastAsia"/>
                <w:spacing w:val="0"/>
                <w:sz w:val="21"/>
              </w:rPr>
            </w:pPr>
            <w:r>
              <w:rPr>
                <w:rFonts w:hint="eastAsia"/>
                <w:spacing w:val="0"/>
                <w:sz w:val="21"/>
              </w:rPr>
              <w:t>供水管网停水涉及用户数（户）</w:t>
            </w:r>
          </w:p>
        </w:tc>
        <w:tc>
          <w:tcPr>
            <w:tcW w:w="774" w:type="dxa"/>
            <w:gridSpan w:val="2"/>
            <w:tcMar>
              <w:top w:w="0" w:type="dxa"/>
              <w:left w:w="0" w:type="dxa"/>
              <w:bottom w:w="0" w:type="dxa"/>
              <w:right w:w="0" w:type="dxa"/>
            </w:tcMar>
            <w:vAlign w:val="center"/>
          </w:tcPr>
          <w:p w14:paraId="434B5E0E">
            <w:pPr>
              <w:bidi w:val="0"/>
              <w:jc w:val="both"/>
              <w:rPr>
                <w:rFonts w:hint="eastAsia"/>
                <w:spacing w:val="0"/>
                <w:sz w:val="21"/>
              </w:rPr>
            </w:pPr>
            <w:r>
              <w:rPr>
                <w:rFonts w:hint="eastAsia"/>
                <w:spacing w:val="0"/>
                <w:sz w:val="21"/>
              </w:rPr>
              <w:t>二供加压供水设施调蓄供水</w:t>
            </w:r>
          </w:p>
          <w:p w14:paraId="00E179DC">
            <w:pPr>
              <w:bidi w:val="0"/>
              <w:jc w:val="both"/>
              <w:rPr>
                <w:rFonts w:hint="eastAsia"/>
                <w:spacing w:val="0"/>
                <w:sz w:val="21"/>
              </w:rPr>
            </w:pPr>
            <w:r>
              <w:rPr>
                <w:rFonts w:hint="eastAsia"/>
                <w:spacing w:val="0"/>
                <w:sz w:val="21"/>
              </w:rPr>
              <w:t>时长（min/ 户）</w:t>
            </w:r>
          </w:p>
        </w:tc>
        <w:tc>
          <w:tcPr>
            <w:tcW w:w="774" w:type="dxa"/>
            <w:gridSpan w:val="2"/>
            <w:tcMar>
              <w:top w:w="0" w:type="dxa"/>
              <w:left w:w="0" w:type="dxa"/>
              <w:bottom w:w="0" w:type="dxa"/>
              <w:right w:w="0" w:type="dxa"/>
            </w:tcMar>
            <w:vAlign w:val="center"/>
          </w:tcPr>
          <w:p w14:paraId="24468CDD">
            <w:pPr>
              <w:bidi w:val="0"/>
              <w:jc w:val="both"/>
              <w:rPr>
                <w:rFonts w:hint="eastAsia"/>
                <w:spacing w:val="0"/>
                <w:sz w:val="21"/>
              </w:rPr>
            </w:pPr>
            <w:r>
              <w:rPr>
                <w:rFonts w:hint="eastAsia"/>
                <w:spacing w:val="0"/>
                <w:sz w:val="21"/>
              </w:rPr>
              <w:t>二供加压供水设施调蓄供水 用户数 （户）</w:t>
            </w:r>
          </w:p>
        </w:tc>
        <w:tc>
          <w:tcPr>
            <w:tcW w:w="774" w:type="dxa"/>
            <w:gridSpan w:val="2"/>
            <w:tcMar>
              <w:top w:w="0" w:type="dxa"/>
              <w:left w:w="0" w:type="dxa"/>
              <w:bottom w:w="0" w:type="dxa"/>
              <w:right w:w="0" w:type="dxa"/>
            </w:tcMar>
            <w:vAlign w:val="center"/>
          </w:tcPr>
          <w:p w14:paraId="551348CF">
            <w:pPr>
              <w:bidi w:val="0"/>
              <w:jc w:val="both"/>
              <w:rPr>
                <w:rFonts w:hint="eastAsia"/>
                <w:spacing w:val="0"/>
                <w:sz w:val="21"/>
              </w:rPr>
            </w:pPr>
            <w:r>
              <w:rPr>
                <w:rFonts w:hint="eastAsia"/>
                <w:spacing w:val="0"/>
                <w:sz w:val="21"/>
              </w:rPr>
              <w:t>实际停水时长（min/ 户）</w:t>
            </w:r>
          </w:p>
        </w:tc>
        <w:tc>
          <w:tcPr>
            <w:tcW w:w="774" w:type="dxa"/>
            <w:gridSpan w:val="2"/>
            <w:tcMar>
              <w:top w:w="0" w:type="dxa"/>
              <w:left w:w="0" w:type="dxa"/>
              <w:bottom w:w="0" w:type="dxa"/>
              <w:right w:w="0" w:type="dxa"/>
            </w:tcMar>
            <w:vAlign w:val="center"/>
          </w:tcPr>
          <w:p w14:paraId="4E107FDA">
            <w:pPr>
              <w:bidi w:val="0"/>
              <w:jc w:val="both"/>
              <w:rPr>
                <w:rFonts w:hint="eastAsia"/>
                <w:spacing w:val="0"/>
                <w:sz w:val="21"/>
              </w:rPr>
            </w:pPr>
            <w:r>
              <w:rPr>
                <w:rFonts w:hint="eastAsia"/>
                <w:spacing w:val="0"/>
                <w:sz w:val="21"/>
              </w:rPr>
              <w:t>实际影响范围（min）</w:t>
            </w:r>
          </w:p>
        </w:tc>
        <w:tc>
          <w:tcPr>
            <w:tcW w:w="782" w:type="dxa"/>
            <w:gridSpan w:val="2"/>
            <w:tcMar>
              <w:top w:w="0" w:type="dxa"/>
              <w:left w:w="0" w:type="dxa"/>
              <w:bottom w:w="0" w:type="dxa"/>
              <w:right w:w="0" w:type="dxa"/>
            </w:tcMar>
            <w:vAlign w:val="center"/>
          </w:tcPr>
          <w:p w14:paraId="58CC9C87">
            <w:pPr>
              <w:bidi w:val="0"/>
              <w:jc w:val="both"/>
              <w:rPr>
                <w:rFonts w:hint="eastAsia"/>
                <w:spacing w:val="0"/>
                <w:sz w:val="21"/>
              </w:rPr>
            </w:pPr>
            <w:r>
              <w:rPr>
                <w:rFonts w:hint="eastAsia"/>
                <w:spacing w:val="0"/>
                <w:sz w:val="21"/>
              </w:rPr>
              <w:t>备注</w:t>
            </w:r>
          </w:p>
        </w:tc>
      </w:tr>
      <w:tr w14:paraId="24F2C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5" w:hRule="atLeast"/>
        </w:trPr>
        <w:tc>
          <w:tcPr>
            <w:tcW w:w="774" w:type="dxa"/>
            <w:gridSpan w:val="2"/>
            <w:vAlign w:val="center"/>
          </w:tcPr>
          <w:p w14:paraId="66E6F1A5">
            <w:pPr>
              <w:bidi w:val="0"/>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774" w:type="dxa"/>
            <w:gridSpan w:val="2"/>
            <w:vAlign w:val="center"/>
          </w:tcPr>
          <w:p w14:paraId="5282FE7B">
            <w:pPr>
              <w:bidi w:val="0"/>
              <w:jc w:val="center"/>
              <w:rPr>
                <w:rFonts w:hint="eastAsia" w:ascii="仿宋_GB2312" w:hAnsi="仿宋_GB2312" w:eastAsia="仿宋_GB2312" w:cs="仿宋_GB2312"/>
              </w:rPr>
            </w:pPr>
          </w:p>
        </w:tc>
        <w:tc>
          <w:tcPr>
            <w:tcW w:w="774" w:type="dxa"/>
            <w:gridSpan w:val="2"/>
            <w:vAlign w:val="center"/>
          </w:tcPr>
          <w:p w14:paraId="22CADCB1">
            <w:pPr>
              <w:bidi w:val="0"/>
              <w:jc w:val="center"/>
              <w:rPr>
                <w:rFonts w:hint="eastAsia" w:ascii="仿宋_GB2312" w:hAnsi="仿宋_GB2312" w:eastAsia="仿宋_GB2312" w:cs="仿宋_GB2312"/>
              </w:rPr>
            </w:pPr>
          </w:p>
        </w:tc>
        <w:tc>
          <w:tcPr>
            <w:tcW w:w="774" w:type="dxa"/>
            <w:gridSpan w:val="2"/>
            <w:vAlign w:val="center"/>
          </w:tcPr>
          <w:p w14:paraId="74DC6CAF">
            <w:pPr>
              <w:bidi w:val="0"/>
              <w:jc w:val="center"/>
              <w:rPr>
                <w:rFonts w:hint="eastAsia" w:ascii="仿宋_GB2312" w:hAnsi="仿宋_GB2312" w:eastAsia="仿宋_GB2312" w:cs="仿宋_GB2312"/>
              </w:rPr>
            </w:pPr>
            <w:r>
              <w:rPr>
                <w:rFonts w:hint="eastAsia" w:ascii="仿宋_GB2312" w:hAnsi="仿宋_GB2312" w:eastAsia="仿宋_GB2312" w:cs="仿宋_GB2312"/>
              </w:rPr>
              <w:t>xx年</w:t>
            </w:r>
          </w:p>
          <w:p w14:paraId="58402F4B">
            <w:pPr>
              <w:bidi w:val="0"/>
              <w:jc w:val="center"/>
              <w:rPr>
                <w:rFonts w:hint="eastAsia" w:ascii="仿宋_GB2312" w:hAnsi="仿宋_GB2312" w:eastAsia="仿宋_GB2312" w:cs="仿宋_GB2312"/>
              </w:rPr>
            </w:pPr>
            <w:r>
              <w:rPr>
                <w:rFonts w:hint="eastAsia" w:ascii="仿宋_GB2312" w:hAnsi="仿宋_GB2312" w:eastAsia="仿宋_GB2312" w:cs="仿宋_GB2312"/>
              </w:rPr>
              <w:t>xx月</w:t>
            </w:r>
          </w:p>
          <w:p w14:paraId="14E1F68C">
            <w:pPr>
              <w:bidi w:val="0"/>
              <w:jc w:val="center"/>
              <w:rPr>
                <w:rFonts w:hint="eastAsia" w:ascii="仿宋_GB2312" w:hAnsi="仿宋_GB2312" w:eastAsia="仿宋_GB2312" w:cs="仿宋_GB2312"/>
              </w:rPr>
            </w:pPr>
            <w:r>
              <w:rPr>
                <w:rFonts w:hint="eastAsia" w:ascii="仿宋_GB2312" w:hAnsi="仿宋_GB2312" w:eastAsia="仿宋_GB2312" w:cs="仿宋_GB2312"/>
              </w:rPr>
              <w:t>xx日</w:t>
            </w:r>
          </w:p>
          <w:p w14:paraId="13CDB3A4">
            <w:pPr>
              <w:bidi w:val="0"/>
              <w:jc w:val="center"/>
              <w:rPr>
                <w:rFonts w:hint="eastAsia" w:ascii="仿宋_GB2312" w:hAnsi="仿宋_GB2312" w:eastAsia="仿宋_GB2312" w:cs="仿宋_GB2312"/>
              </w:rPr>
            </w:pPr>
            <w:r>
              <w:rPr>
                <w:rFonts w:hint="eastAsia" w:ascii="仿宋_GB2312" w:hAnsi="仿宋_GB2312" w:eastAsia="仿宋_GB2312" w:cs="仿宋_GB2312"/>
              </w:rPr>
              <w:t>xx时</w:t>
            </w:r>
          </w:p>
          <w:p w14:paraId="3A8E5438">
            <w:pPr>
              <w:bidi w:val="0"/>
              <w:jc w:val="center"/>
              <w:rPr>
                <w:rFonts w:hint="eastAsia" w:ascii="仿宋_GB2312" w:hAnsi="仿宋_GB2312" w:eastAsia="仿宋_GB2312" w:cs="仿宋_GB2312"/>
              </w:rPr>
            </w:pPr>
            <w:r>
              <w:rPr>
                <w:rFonts w:hint="eastAsia" w:ascii="仿宋_GB2312" w:hAnsi="仿宋_GB2312" w:eastAsia="仿宋_GB2312" w:cs="仿宋_GB2312"/>
              </w:rPr>
              <w:t>xx分</w:t>
            </w:r>
          </w:p>
        </w:tc>
        <w:tc>
          <w:tcPr>
            <w:tcW w:w="774" w:type="dxa"/>
            <w:gridSpan w:val="2"/>
            <w:vAlign w:val="center"/>
          </w:tcPr>
          <w:p w14:paraId="4D00F64E">
            <w:pPr>
              <w:bidi w:val="0"/>
              <w:jc w:val="center"/>
              <w:rPr>
                <w:rFonts w:hint="eastAsia" w:ascii="仿宋_GB2312" w:hAnsi="仿宋_GB2312" w:eastAsia="仿宋_GB2312" w:cs="仿宋_GB2312"/>
              </w:rPr>
            </w:pPr>
            <w:r>
              <w:rPr>
                <w:rFonts w:hint="eastAsia" w:ascii="仿宋_GB2312" w:hAnsi="仿宋_GB2312" w:eastAsia="仿宋_GB2312" w:cs="仿宋_GB2312"/>
              </w:rPr>
              <w:t>xx年</w:t>
            </w:r>
          </w:p>
          <w:p w14:paraId="13706B99">
            <w:pPr>
              <w:bidi w:val="0"/>
              <w:jc w:val="center"/>
              <w:rPr>
                <w:rFonts w:hint="eastAsia" w:ascii="仿宋_GB2312" w:hAnsi="仿宋_GB2312" w:eastAsia="仿宋_GB2312" w:cs="仿宋_GB2312"/>
              </w:rPr>
            </w:pPr>
            <w:r>
              <w:rPr>
                <w:rFonts w:hint="eastAsia" w:ascii="仿宋_GB2312" w:hAnsi="仿宋_GB2312" w:eastAsia="仿宋_GB2312" w:cs="仿宋_GB2312"/>
              </w:rPr>
              <w:t>xx月</w:t>
            </w:r>
          </w:p>
          <w:p w14:paraId="0D04516E">
            <w:pPr>
              <w:bidi w:val="0"/>
              <w:jc w:val="center"/>
              <w:rPr>
                <w:rFonts w:hint="eastAsia" w:ascii="仿宋_GB2312" w:hAnsi="仿宋_GB2312" w:eastAsia="仿宋_GB2312" w:cs="仿宋_GB2312"/>
              </w:rPr>
            </w:pPr>
            <w:r>
              <w:rPr>
                <w:rFonts w:hint="eastAsia" w:ascii="仿宋_GB2312" w:hAnsi="仿宋_GB2312" w:eastAsia="仿宋_GB2312" w:cs="仿宋_GB2312"/>
              </w:rPr>
              <w:t>xx日</w:t>
            </w:r>
          </w:p>
          <w:p w14:paraId="53E41BAC">
            <w:pPr>
              <w:bidi w:val="0"/>
              <w:jc w:val="center"/>
              <w:rPr>
                <w:rFonts w:hint="eastAsia" w:ascii="仿宋_GB2312" w:hAnsi="仿宋_GB2312" w:eastAsia="仿宋_GB2312" w:cs="仿宋_GB2312"/>
              </w:rPr>
            </w:pPr>
            <w:r>
              <w:rPr>
                <w:rFonts w:hint="eastAsia" w:ascii="仿宋_GB2312" w:hAnsi="仿宋_GB2312" w:eastAsia="仿宋_GB2312" w:cs="仿宋_GB2312"/>
              </w:rPr>
              <w:t>xx时</w:t>
            </w:r>
          </w:p>
          <w:p w14:paraId="4297B327">
            <w:pPr>
              <w:bidi w:val="0"/>
              <w:jc w:val="center"/>
              <w:rPr>
                <w:rFonts w:hint="eastAsia" w:ascii="仿宋_GB2312" w:hAnsi="仿宋_GB2312" w:eastAsia="仿宋_GB2312" w:cs="仿宋_GB2312"/>
              </w:rPr>
            </w:pPr>
            <w:r>
              <w:rPr>
                <w:rFonts w:hint="eastAsia" w:ascii="仿宋_GB2312" w:hAnsi="仿宋_GB2312" w:eastAsia="仿宋_GB2312" w:cs="仿宋_GB2312"/>
              </w:rPr>
              <w:t>xx分</w:t>
            </w:r>
          </w:p>
        </w:tc>
        <w:tc>
          <w:tcPr>
            <w:tcW w:w="774" w:type="dxa"/>
            <w:gridSpan w:val="2"/>
            <w:vAlign w:val="center"/>
          </w:tcPr>
          <w:p w14:paraId="1C9C08C8">
            <w:pPr>
              <w:bidi w:val="0"/>
              <w:jc w:val="center"/>
              <w:rPr>
                <w:rFonts w:hint="eastAsia" w:ascii="仿宋_GB2312" w:hAnsi="仿宋_GB2312" w:eastAsia="仿宋_GB2312" w:cs="仿宋_GB2312"/>
              </w:rPr>
            </w:pPr>
          </w:p>
        </w:tc>
        <w:tc>
          <w:tcPr>
            <w:tcW w:w="774" w:type="dxa"/>
            <w:gridSpan w:val="2"/>
            <w:vAlign w:val="center"/>
          </w:tcPr>
          <w:p w14:paraId="25FF5B85">
            <w:pPr>
              <w:bidi w:val="0"/>
              <w:jc w:val="center"/>
              <w:rPr>
                <w:rFonts w:hint="eastAsia" w:ascii="仿宋_GB2312" w:hAnsi="仿宋_GB2312" w:eastAsia="仿宋_GB2312" w:cs="仿宋_GB2312"/>
              </w:rPr>
            </w:pPr>
          </w:p>
        </w:tc>
        <w:tc>
          <w:tcPr>
            <w:tcW w:w="774" w:type="dxa"/>
            <w:gridSpan w:val="2"/>
            <w:vAlign w:val="center"/>
          </w:tcPr>
          <w:p w14:paraId="19F622C7">
            <w:pPr>
              <w:bidi w:val="0"/>
              <w:jc w:val="center"/>
              <w:rPr>
                <w:rFonts w:hint="eastAsia" w:ascii="仿宋_GB2312" w:hAnsi="仿宋_GB2312" w:eastAsia="仿宋_GB2312" w:cs="仿宋_GB2312"/>
              </w:rPr>
            </w:pPr>
          </w:p>
        </w:tc>
        <w:tc>
          <w:tcPr>
            <w:tcW w:w="774" w:type="dxa"/>
            <w:gridSpan w:val="2"/>
            <w:vAlign w:val="center"/>
          </w:tcPr>
          <w:p w14:paraId="50DE24F7">
            <w:pPr>
              <w:bidi w:val="0"/>
              <w:jc w:val="center"/>
              <w:rPr>
                <w:rFonts w:hint="eastAsia" w:ascii="仿宋_GB2312" w:hAnsi="仿宋_GB2312" w:eastAsia="仿宋_GB2312" w:cs="仿宋_GB2312"/>
              </w:rPr>
            </w:pPr>
          </w:p>
        </w:tc>
        <w:tc>
          <w:tcPr>
            <w:tcW w:w="774" w:type="dxa"/>
            <w:gridSpan w:val="2"/>
            <w:vAlign w:val="center"/>
          </w:tcPr>
          <w:p w14:paraId="33F1605F">
            <w:pPr>
              <w:bidi w:val="0"/>
              <w:jc w:val="center"/>
              <w:rPr>
                <w:rFonts w:hint="eastAsia" w:ascii="仿宋_GB2312" w:hAnsi="仿宋_GB2312" w:eastAsia="仿宋_GB2312" w:cs="仿宋_GB2312"/>
              </w:rPr>
            </w:pPr>
          </w:p>
        </w:tc>
        <w:tc>
          <w:tcPr>
            <w:tcW w:w="774" w:type="dxa"/>
            <w:gridSpan w:val="2"/>
            <w:vAlign w:val="center"/>
          </w:tcPr>
          <w:p w14:paraId="355F08AD">
            <w:pPr>
              <w:bidi w:val="0"/>
              <w:jc w:val="center"/>
              <w:rPr>
                <w:rFonts w:hint="eastAsia" w:ascii="仿宋_GB2312" w:hAnsi="仿宋_GB2312" w:eastAsia="仿宋_GB2312" w:cs="仿宋_GB2312"/>
              </w:rPr>
            </w:pPr>
          </w:p>
        </w:tc>
        <w:tc>
          <w:tcPr>
            <w:tcW w:w="782" w:type="dxa"/>
            <w:gridSpan w:val="2"/>
            <w:vAlign w:val="center"/>
          </w:tcPr>
          <w:p w14:paraId="2412D840">
            <w:pPr>
              <w:bidi w:val="0"/>
              <w:jc w:val="center"/>
              <w:rPr>
                <w:rFonts w:hint="eastAsia" w:ascii="仿宋_GB2312" w:hAnsi="仿宋_GB2312" w:eastAsia="仿宋_GB2312" w:cs="仿宋_GB2312"/>
              </w:rPr>
            </w:pPr>
          </w:p>
        </w:tc>
      </w:tr>
      <w:tr w14:paraId="5EC46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95" w:hRule="atLeast"/>
        </w:trPr>
        <w:tc>
          <w:tcPr>
            <w:tcW w:w="774" w:type="dxa"/>
            <w:gridSpan w:val="2"/>
            <w:vAlign w:val="center"/>
          </w:tcPr>
          <w:p w14:paraId="7D55CFC8">
            <w:pPr>
              <w:keepNext w:val="0"/>
              <w:keepLines w:val="0"/>
              <w:pageBreakBefore w:val="0"/>
              <w:widowControl w:val="0"/>
              <w:kinsoku/>
              <w:wordWrap/>
              <w:overflowPunct/>
              <w:topLinePunct w:val="0"/>
              <w:autoSpaceDE/>
              <w:autoSpaceDN/>
              <w:bidi w:val="0"/>
              <w:adjustRightInd/>
              <w:snapToGrid/>
              <w:spacing w:before="238" w:line="240" w:lineRule="auto"/>
              <w:ind w:left="179"/>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774" w:type="dxa"/>
            <w:gridSpan w:val="2"/>
            <w:vAlign w:val="center"/>
          </w:tcPr>
          <w:p w14:paraId="15841B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rPr>
            </w:pPr>
          </w:p>
        </w:tc>
        <w:tc>
          <w:tcPr>
            <w:tcW w:w="774" w:type="dxa"/>
            <w:gridSpan w:val="2"/>
            <w:vAlign w:val="center"/>
          </w:tcPr>
          <w:p w14:paraId="12A452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rPr>
            </w:pPr>
          </w:p>
        </w:tc>
        <w:tc>
          <w:tcPr>
            <w:tcW w:w="774" w:type="dxa"/>
            <w:gridSpan w:val="2"/>
            <w:vAlign w:val="center"/>
          </w:tcPr>
          <w:p w14:paraId="152F9F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rPr>
            </w:pPr>
          </w:p>
        </w:tc>
        <w:tc>
          <w:tcPr>
            <w:tcW w:w="774" w:type="dxa"/>
            <w:gridSpan w:val="2"/>
            <w:vAlign w:val="center"/>
          </w:tcPr>
          <w:p w14:paraId="1E1D1D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rPr>
            </w:pPr>
          </w:p>
        </w:tc>
        <w:tc>
          <w:tcPr>
            <w:tcW w:w="774" w:type="dxa"/>
            <w:gridSpan w:val="2"/>
            <w:vAlign w:val="center"/>
          </w:tcPr>
          <w:p w14:paraId="167BB2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rPr>
            </w:pPr>
          </w:p>
        </w:tc>
        <w:tc>
          <w:tcPr>
            <w:tcW w:w="774" w:type="dxa"/>
            <w:gridSpan w:val="2"/>
            <w:vAlign w:val="center"/>
          </w:tcPr>
          <w:p w14:paraId="5290BA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rPr>
            </w:pPr>
          </w:p>
        </w:tc>
        <w:tc>
          <w:tcPr>
            <w:tcW w:w="774" w:type="dxa"/>
            <w:gridSpan w:val="2"/>
            <w:vAlign w:val="center"/>
          </w:tcPr>
          <w:p w14:paraId="4E4A3D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rPr>
            </w:pPr>
          </w:p>
        </w:tc>
        <w:tc>
          <w:tcPr>
            <w:tcW w:w="774" w:type="dxa"/>
            <w:gridSpan w:val="2"/>
            <w:vAlign w:val="center"/>
          </w:tcPr>
          <w:p w14:paraId="018211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rPr>
            </w:pPr>
          </w:p>
        </w:tc>
        <w:tc>
          <w:tcPr>
            <w:tcW w:w="774" w:type="dxa"/>
            <w:gridSpan w:val="2"/>
            <w:vAlign w:val="center"/>
          </w:tcPr>
          <w:p w14:paraId="6A22C8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rPr>
            </w:pPr>
          </w:p>
        </w:tc>
        <w:tc>
          <w:tcPr>
            <w:tcW w:w="774" w:type="dxa"/>
            <w:gridSpan w:val="2"/>
            <w:vAlign w:val="center"/>
          </w:tcPr>
          <w:p w14:paraId="5AC64A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rPr>
            </w:pPr>
          </w:p>
        </w:tc>
        <w:tc>
          <w:tcPr>
            <w:tcW w:w="780" w:type="dxa"/>
            <w:vAlign w:val="center"/>
          </w:tcPr>
          <w:p w14:paraId="7EA4B2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rPr>
            </w:pPr>
          </w:p>
        </w:tc>
      </w:tr>
      <w:tr w14:paraId="572FF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99" w:hRule="atLeast"/>
        </w:trPr>
        <w:tc>
          <w:tcPr>
            <w:tcW w:w="774" w:type="dxa"/>
            <w:gridSpan w:val="2"/>
            <w:vAlign w:val="center"/>
          </w:tcPr>
          <w:p w14:paraId="742FEA1A">
            <w:pPr>
              <w:keepNext w:val="0"/>
              <w:keepLines w:val="0"/>
              <w:pageBreakBefore w:val="0"/>
              <w:widowControl w:val="0"/>
              <w:kinsoku/>
              <w:wordWrap/>
              <w:overflowPunct/>
              <w:topLinePunct w:val="0"/>
              <w:autoSpaceDE/>
              <w:autoSpaceDN/>
              <w:bidi w:val="0"/>
              <w:adjustRightInd/>
              <w:snapToGrid/>
              <w:spacing w:before="238" w:line="240" w:lineRule="auto"/>
              <w:ind w:left="18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774" w:type="dxa"/>
            <w:gridSpan w:val="2"/>
            <w:vAlign w:val="center"/>
          </w:tcPr>
          <w:p w14:paraId="10DF17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rPr>
            </w:pPr>
          </w:p>
        </w:tc>
        <w:tc>
          <w:tcPr>
            <w:tcW w:w="774" w:type="dxa"/>
            <w:gridSpan w:val="2"/>
            <w:vAlign w:val="center"/>
          </w:tcPr>
          <w:p w14:paraId="4D747D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rPr>
            </w:pPr>
          </w:p>
        </w:tc>
        <w:tc>
          <w:tcPr>
            <w:tcW w:w="774" w:type="dxa"/>
            <w:gridSpan w:val="2"/>
            <w:vAlign w:val="center"/>
          </w:tcPr>
          <w:p w14:paraId="78A23C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rPr>
            </w:pPr>
          </w:p>
        </w:tc>
        <w:tc>
          <w:tcPr>
            <w:tcW w:w="774" w:type="dxa"/>
            <w:gridSpan w:val="2"/>
            <w:vAlign w:val="center"/>
          </w:tcPr>
          <w:p w14:paraId="0F1DD3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rPr>
            </w:pPr>
          </w:p>
        </w:tc>
        <w:tc>
          <w:tcPr>
            <w:tcW w:w="774" w:type="dxa"/>
            <w:gridSpan w:val="2"/>
            <w:vAlign w:val="center"/>
          </w:tcPr>
          <w:p w14:paraId="778C04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rPr>
            </w:pPr>
          </w:p>
        </w:tc>
        <w:tc>
          <w:tcPr>
            <w:tcW w:w="774" w:type="dxa"/>
            <w:gridSpan w:val="2"/>
            <w:vAlign w:val="center"/>
          </w:tcPr>
          <w:p w14:paraId="71A0B5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rPr>
            </w:pPr>
          </w:p>
        </w:tc>
        <w:tc>
          <w:tcPr>
            <w:tcW w:w="774" w:type="dxa"/>
            <w:gridSpan w:val="2"/>
            <w:vAlign w:val="center"/>
          </w:tcPr>
          <w:p w14:paraId="3CC9EC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rPr>
            </w:pPr>
          </w:p>
        </w:tc>
        <w:tc>
          <w:tcPr>
            <w:tcW w:w="774" w:type="dxa"/>
            <w:gridSpan w:val="2"/>
            <w:vAlign w:val="center"/>
          </w:tcPr>
          <w:p w14:paraId="1F3FEE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rPr>
            </w:pPr>
          </w:p>
        </w:tc>
        <w:tc>
          <w:tcPr>
            <w:tcW w:w="774" w:type="dxa"/>
            <w:gridSpan w:val="2"/>
            <w:vAlign w:val="center"/>
          </w:tcPr>
          <w:p w14:paraId="779414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rPr>
            </w:pPr>
          </w:p>
        </w:tc>
        <w:tc>
          <w:tcPr>
            <w:tcW w:w="774" w:type="dxa"/>
            <w:gridSpan w:val="2"/>
            <w:vAlign w:val="center"/>
          </w:tcPr>
          <w:p w14:paraId="3CF9FD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rPr>
            </w:pPr>
          </w:p>
        </w:tc>
        <w:tc>
          <w:tcPr>
            <w:tcW w:w="780" w:type="dxa"/>
            <w:vAlign w:val="center"/>
          </w:tcPr>
          <w:p w14:paraId="1426DE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rPr>
            </w:pPr>
          </w:p>
        </w:tc>
      </w:tr>
    </w:tbl>
    <w:p w14:paraId="02B0679B">
      <w:pPr>
        <w:pStyle w:val="1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21"/>
          <w:lang w:val="en-US" w:eastAsia="zh-CN"/>
        </w:rPr>
      </w:pPr>
    </w:p>
    <w:p w14:paraId="25B48C3A">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（六）评价区域总用户数根据水表数和不同口径水表折算系 数统计计算获得。根据供水企业资料的完备程度不同，选择以下三种折算方法之一：</w:t>
      </w:r>
    </w:p>
    <w:p w14:paraId="60A3E343">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1.平均售水量法：评价区域的统一周期内，大于DN20（DN15折算系数为1，下同）的不同口径的用户表，取其在评价周期内的平均售水量与统一区域内的DN20水表的平均售水量之比来折算对应数量的用户统计单位；</w:t>
      </w:r>
    </w:p>
    <w:p w14:paraId="3606AAB9">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2.拓扑关联法：评价区域内，大于 DN20 的用户总表，取其与对应总表之后关联的终端用户水表之比的平均值来折算对应数量的用户统计单位；</w:t>
      </w:r>
    </w:p>
    <w:p w14:paraId="252D5986">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3.公称流量法：大于DN20的水表，按其公称流量Q3与DN20水表的公称流量之比折算为对应数量的用户统计单位。</w:t>
      </w:r>
    </w:p>
    <w:p w14:paraId="18A0DA39">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当供水企业售水数据较为完备时 ，推荐采用平均售水量法；若售水数据缺失，但拓扑结构信息完备，可采用拓扑关联法；若上述数据均不完备，可采用公称流量法。同一次供水可靠性评价中只能采用一种折算法。</w:t>
      </w:r>
    </w:p>
    <w:p w14:paraId="76C28016">
      <w:pPr>
        <w:pStyle w:val="1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第四章 可靠性指标运用</w:t>
      </w:r>
    </w:p>
    <w:p w14:paraId="3DED088C">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第十条供水行政主管部门应根据监管需求，对供水企业 开展供水可靠性评价。评价分为年度供水可靠性评价和日常供水可靠性评价。</w:t>
      </w:r>
    </w:p>
    <w:p w14:paraId="5D251E86">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（一）年度供水可靠性评价</w:t>
      </w:r>
    </w:p>
    <w:p w14:paraId="5084B874">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常规情况下，供水可靠性评价宜按年度进行评价，特殊或应急情况下可按需开展评价。</w:t>
      </w:r>
    </w:p>
    <w:p w14:paraId="651C7AE1">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年度供水可靠性评价由县（市、县）供水行政主管部门组织供水企业或委托专业第三方咨询机构开展评价工作。</w:t>
      </w:r>
    </w:p>
    <w:p w14:paraId="7EF99298">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（二）日常供水可靠性评价</w:t>
      </w:r>
    </w:p>
    <w:p w14:paraId="2A3B60DC">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原则上每月开展一次。关键指标数据（用户平均停水时长、用户平均停水次数等）应在企业门户网站（或微信公众号）上进行集中公示。</w:t>
      </w:r>
    </w:p>
    <w:p w14:paraId="6FAB21EE">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日常供水可靠性评价由供水企业自评或委托专业第三方咨询机构进行评价工作。日常评价主要对基本指标进行评价。</w:t>
      </w:r>
    </w:p>
    <w:p w14:paraId="33FA3F74">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第十一条对供水可靠性管理工作中取得突出成绩的单 位，由供水行政主管部门给予表彰与适当奖励；对供水可靠性管理工作中未达标的单位，由供水行政主管部门给予通报与适当惩罚。年度奖惩标准按表2执行。</w:t>
      </w:r>
    </w:p>
    <w:p w14:paraId="4FA427B9">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表2 供水可靠率奖惩标准</w:t>
      </w:r>
    </w:p>
    <w:tbl>
      <w:tblPr>
        <w:tblStyle w:val="8"/>
        <w:tblW w:w="7490" w:type="dxa"/>
        <w:tblInd w:w="5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64"/>
        <w:gridCol w:w="2343"/>
        <w:gridCol w:w="2583"/>
      </w:tblGrid>
      <w:tr w14:paraId="61AF8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564" w:type="dxa"/>
            <w:vAlign w:val="top"/>
          </w:tcPr>
          <w:p w14:paraId="6FBFFEED">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名称</w:t>
            </w:r>
          </w:p>
        </w:tc>
        <w:tc>
          <w:tcPr>
            <w:tcW w:w="2343" w:type="dxa"/>
            <w:vAlign w:val="top"/>
          </w:tcPr>
          <w:p w14:paraId="229B842B">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目标</w:t>
            </w:r>
          </w:p>
        </w:tc>
        <w:tc>
          <w:tcPr>
            <w:tcW w:w="2583" w:type="dxa"/>
            <w:vAlign w:val="top"/>
          </w:tcPr>
          <w:p w14:paraId="01487C05">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奖惩标准</w:t>
            </w:r>
          </w:p>
        </w:tc>
      </w:tr>
      <w:tr w14:paraId="2E562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564" w:type="dxa"/>
            <w:vMerge w:val="restart"/>
            <w:tcBorders>
              <w:bottom w:val="nil"/>
            </w:tcBorders>
            <w:vAlign w:val="top"/>
          </w:tcPr>
          <w:p w14:paraId="678BF3AE">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b/>
            </w:r>
          </w:p>
          <w:p w14:paraId="31BE1D37">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4387EE28">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453860B4">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供水可靠率 ( WSRI )</w:t>
            </w:r>
          </w:p>
        </w:tc>
        <w:tc>
          <w:tcPr>
            <w:tcW w:w="2343" w:type="dxa"/>
            <w:vAlign w:val="top"/>
          </w:tcPr>
          <w:p w14:paraId="385194B9">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0400086C">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WSRI&gt;95</w:t>
            </w:r>
          </w:p>
        </w:tc>
        <w:tc>
          <w:tcPr>
            <w:tcW w:w="2583" w:type="dxa"/>
            <w:vAlign w:val="top"/>
          </w:tcPr>
          <w:p w14:paraId="4910D266">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奖励 5000 元</w:t>
            </w:r>
          </w:p>
        </w:tc>
      </w:tr>
      <w:tr w14:paraId="7F7B7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2564" w:type="dxa"/>
            <w:vMerge w:val="continue"/>
            <w:tcBorders>
              <w:top w:val="nil"/>
              <w:bottom w:val="nil"/>
            </w:tcBorders>
            <w:vAlign w:val="top"/>
          </w:tcPr>
          <w:p w14:paraId="3C7B6066">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tc>
        <w:tc>
          <w:tcPr>
            <w:tcW w:w="2343" w:type="dxa"/>
            <w:vAlign w:val="top"/>
          </w:tcPr>
          <w:p w14:paraId="1C50A6F3">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95&gt;WSRI&gt;85</w:t>
            </w:r>
          </w:p>
        </w:tc>
        <w:tc>
          <w:tcPr>
            <w:tcW w:w="2583" w:type="dxa"/>
            <w:vAlign w:val="top"/>
          </w:tcPr>
          <w:p w14:paraId="4189F99B">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奖励 3000 元</w:t>
            </w:r>
          </w:p>
        </w:tc>
      </w:tr>
      <w:tr w14:paraId="5806C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564" w:type="dxa"/>
            <w:vMerge w:val="continue"/>
            <w:tcBorders>
              <w:top w:val="nil"/>
              <w:bottom w:val="nil"/>
            </w:tcBorders>
            <w:vAlign w:val="top"/>
          </w:tcPr>
          <w:p w14:paraId="20654194">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tc>
        <w:tc>
          <w:tcPr>
            <w:tcW w:w="2343" w:type="dxa"/>
            <w:vAlign w:val="top"/>
          </w:tcPr>
          <w:p w14:paraId="65BB6113">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85&gt;WSRI&gt;70</w:t>
            </w:r>
          </w:p>
        </w:tc>
        <w:tc>
          <w:tcPr>
            <w:tcW w:w="2583" w:type="dxa"/>
            <w:vAlign w:val="top"/>
          </w:tcPr>
          <w:p w14:paraId="283AE1AB">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r w14:paraId="7CC28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2564" w:type="dxa"/>
            <w:vMerge w:val="continue"/>
            <w:tcBorders>
              <w:top w:val="nil"/>
              <w:bottom w:val="nil"/>
            </w:tcBorders>
            <w:vAlign w:val="top"/>
          </w:tcPr>
          <w:p w14:paraId="24DD6D21">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tc>
        <w:tc>
          <w:tcPr>
            <w:tcW w:w="2343" w:type="dxa"/>
            <w:vAlign w:val="top"/>
          </w:tcPr>
          <w:p w14:paraId="6C0047B6">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70&gt;WSRI&gt;60</w:t>
            </w:r>
          </w:p>
        </w:tc>
        <w:tc>
          <w:tcPr>
            <w:tcW w:w="2583" w:type="dxa"/>
            <w:vAlign w:val="top"/>
          </w:tcPr>
          <w:p w14:paraId="652219BC">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惩罚 3000 元</w:t>
            </w:r>
          </w:p>
        </w:tc>
      </w:tr>
      <w:tr w14:paraId="11861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564" w:type="dxa"/>
            <w:vMerge w:val="continue"/>
            <w:tcBorders>
              <w:top w:val="nil"/>
            </w:tcBorders>
            <w:vAlign w:val="top"/>
          </w:tcPr>
          <w:p w14:paraId="48CED5D4">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tc>
        <w:tc>
          <w:tcPr>
            <w:tcW w:w="2343" w:type="dxa"/>
            <w:vAlign w:val="top"/>
          </w:tcPr>
          <w:p w14:paraId="604E5BAF">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WSRI&lt;60</w:t>
            </w:r>
          </w:p>
        </w:tc>
        <w:tc>
          <w:tcPr>
            <w:tcW w:w="2583" w:type="dxa"/>
            <w:vAlign w:val="top"/>
          </w:tcPr>
          <w:p w14:paraId="0A662EDF">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惩罚 5000 元</w:t>
            </w:r>
          </w:p>
        </w:tc>
      </w:tr>
    </w:tbl>
    <w:p w14:paraId="03098A8E">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第十二条对供水可靠性监督检查过程中产生的访谈、通报、奖励、惩罚等记录依法依规进行归集和公示，对相应的责任 主体依法实施守信激励与失信惩戒。</w:t>
      </w:r>
    </w:p>
    <w:p w14:paraId="2D19C329">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第十三条对各类影响供水可靠性的行为，依据《城市供水条例》进行处理。</w:t>
      </w:r>
    </w:p>
    <w:p w14:paraId="1AB29C2B">
      <w:pPr>
        <w:pStyle w:val="1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第五章 附则</w:t>
      </w:r>
    </w:p>
    <w:p w14:paraId="16887394">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第十四条本方案由大兴安岭地区住房与城乡建设局负责解释。</w:t>
      </w:r>
    </w:p>
    <w:p w14:paraId="69A9292B">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r>
        <w:rPr>
          <w:rFonts w:hint="eastAsia" w:ascii="宋体" w:hAnsi="宋体" w:eastAsia="宋体" w:cs="宋体"/>
          <w:sz w:val="21"/>
          <w:szCs w:val="21"/>
          <w:lang w:val="en-US" w:eastAsia="zh-CN"/>
        </w:rPr>
        <w:t>第十五条本方案自2024年11月1日起执行。</w:t>
      </w:r>
    </w:p>
    <w:p w14:paraId="15028F3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73F54F1"/>
    <w:rsid w:val="09727A0F"/>
    <w:rsid w:val="129B5913"/>
    <w:rsid w:val="134C3538"/>
    <w:rsid w:val="14E51FD5"/>
    <w:rsid w:val="1DDC550B"/>
    <w:rsid w:val="296E0005"/>
    <w:rsid w:val="33203C6F"/>
    <w:rsid w:val="448B2102"/>
    <w:rsid w:val="4BB46342"/>
    <w:rsid w:val="542A2224"/>
    <w:rsid w:val="5856487D"/>
    <w:rsid w:val="5A114B53"/>
    <w:rsid w:val="5A7A547C"/>
    <w:rsid w:val="5D2972E4"/>
    <w:rsid w:val="5EE31B38"/>
    <w:rsid w:val="5FA55479"/>
    <w:rsid w:val="5FE274DC"/>
    <w:rsid w:val="60407876"/>
    <w:rsid w:val="6AB5321D"/>
    <w:rsid w:val="720A7028"/>
    <w:rsid w:val="72D20FEF"/>
    <w:rsid w:val="742E12AB"/>
    <w:rsid w:val="782412C6"/>
    <w:rsid w:val="78C17C72"/>
    <w:rsid w:val="7B271119"/>
    <w:rsid w:val="7BAD2677"/>
    <w:rsid w:val="7CFC3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customStyle="1" w:styleId="10">
    <w:name w:val="样式 左 行距: 最小值 28 磅"/>
    <w:basedOn w:val="1"/>
    <w:autoRedefine/>
    <w:qFormat/>
    <w:uiPriority w:val="0"/>
    <w:pPr>
      <w:shd w:val="clear" w:color="auto" w:fill="FFFFFF"/>
      <w:spacing w:line="360" w:lineRule="atLeast"/>
      <w:jc w:val="left"/>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094CDA28ED4F4A33B89037571C65C824_13</vt:lpwstr>
  </property>
  <property fmtid="{D5CDD505-2E9C-101B-9397-08002B2CF9AE}" pid="4" name="KSOTemplateDocerSaveRecord">
    <vt:lpwstr>eyJoZGlkIjoiODA0MGYwZTA3ZjhkZGQ2MDZmM2VkNWJiNGM0NmY1OTkiLCJ1c2VySWQiOiIxMDE3MjYxMTk5In0=</vt:lpwstr>
  </property>
</Properties>
</file>